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2D305B6">
      <w:pPr>
        <w:pStyle w:val="3"/>
        <w:rPr>
          <w:rFonts w:hAnsi="宋体"/>
          <w:sz w:val="36"/>
          <w:szCs w:val="36"/>
        </w:rPr>
      </w:pPr>
      <w:bookmarkStart w:id="0" w:name="_Toc394042589"/>
      <w:bookmarkStart w:id="1" w:name="_Toc399319003"/>
      <w:r>
        <w:rPr>
          <w:rFonts w:hAnsi="宋体"/>
          <w:sz w:val="36"/>
          <w:szCs w:val="36"/>
        </w:rPr>
        <w:t>暂停</w:t>
      </w:r>
      <w:r>
        <w:rPr>
          <w:sz w:val="36"/>
          <w:szCs w:val="36"/>
        </w:rPr>
        <w:t>/</w:t>
      </w:r>
      <w:r>
        <w:rPr>
          <w:rFonts w:hAnsi="宋体"/>
          <w:sz w:val="36"/>
          <w:szCs w:val="36"/>
        </w:rPr>
        <w:t>终止研究报告</w:t>
      </w:r>
      <w:bookmarkEnd w:id="0"/>
      <w:bookmarkEnd w:id="1"/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417"/>
        <w:gridCol w:w="2409"/>
        <w:gridCol w:w="704"/>
        <w:gridCol w:w="1705"/>
        <w:gridCol w:w="235"/>
        <w:gridCol w:w="2176"/>
      </w:tblGrid>
      <w:tr w14:paraId="5420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992" w:type="dxa"/>
            <w:noWrap w:val="0"/>
            <w:vAlign w:val="center"/>
          </w:tcPr>
          <w:p w14:paraId="66BB6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项目名称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 w14:paraId="59D10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bookmarkStart w:id="2" w:name="_GoBack"/>
            <w:bookmarkEnd w:id="2"/>
          </w:p>
        </w:tc>
      </w:tr>
      <w:tr w14:paraId="038C1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992" w:type="dxa"/>
            <w:noWrap w:val="0"/>
            <w:vAlign w:val="center"/>
          </w:tcPr>
          <w:p w14:paraId="1D68E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项目来源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 w14:paraId="230DF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 w14:paraId="21B26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992" w:type="dxa"/>
            <w:noWrap w:val="0"/>
            <w:vAlign w:val="center"/>
          </w:tcPr>
          <w:p w14:paraId="04128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主要研究者</w:t>
            </w:r>
          </w:p>
        </w:tc>
        <w:tc>
          <w:tcPr>
            <w:tcW w:w="3530" w:type="dxa"/>
            <w:gridSpan w:val="3"/>
            <w:noWrap w:val="0"/>
            <w:vAlign w:val="center"/>
          </w:tcPr>
          <w:p w14:paraId="0E755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noWrap w:val="0"/>
            <w:vAlign w:val="center"/>
          </w:tcPr>
          <w:p w14:paraId="5817B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color w:val="000000"/>
                <w:spacing w:val="20"/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申请专业</w:t>
            </w:r>
          </w:p>
        </w:tc>
        <w:tc>
          <w:tcPr>
            <w:tcW w:w="2176" w:type="dxa"/>
            <w:noWrap w:val="0"/>
            <w:vAlign w:val="center"/>
          </w:tcPr>
          <w:p w14:paraId="43CF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 w14:paraId="01672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992" w:type="dxa"/>
            <w:noWrap w:val="0"/>
            <w:vAlign w:val="center"/>
          </w:tcPr>
          <w:p w14:paraId="60E6D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原伦理</w:t>
            </w:r>
            <w:r>
              <w:rPr>
                <w:rFonts w:hint="eastAsia" w:hAnsi="宋体"/>
                <w:sz w:val="24"/>
                <w:szCs w:val="24"/>
                <w:lang w:val="en-US" w:eastAsia="zh-CN"/>
              </w:rPr>
              <w:t>批件号</w:t>
            </w:r>
          </w:p>
        </w:tc>
        <w:tc>
          <w:tcPr>
            <w:tcW w:w="7646" w:type="dxa"/>
            <w:gridSpan w:val="6"/>
            <w:noWrap w:val="0"/>
            <w:vAlign w:val="center"/>
          </w:tcPr>
          <w:p w14:paraId="40B2D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 w14:paraId="6F0D0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9" w:hRule="atLeast"/>
          <w:jc w:val="center"/>
        </w:trPr>
        <w:tc>
          <w:tcPr>
            <w:tcW w:w="9638" w:type="dxa"/>
            <w:gridSpan w:val="7"/>
            <w:noWrap w:val="0"/>
            <w:vAlign w:val="center"/>
          </w:tcPr>
          <w:p w14:paraId="6FDC178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一、一般信息</w:t>
            </w:r>
          </w:p>
          <w:p w14:paraId="2CDC555E"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研究开始日期：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sz w:val="22"/>
                <w:szCs w:val="2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sz w:val="22"/>
                <w:szCs w:val="22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  <w:t>研究暂停/终止日期：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u w:val="single"/>
                <w:lang w:val="en-US" w:eastAsia="zh-CN"/>
              </w:rPr>
              <w:t xml:space="preserve">                  </w:t>
            </w:r>
          </w:p>
          <w:p w14:paraId="3C4A9B2C"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申办者提出： 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暂停研究，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终止研究；</w:t>
            </w:r>
          </w:p>
          <w:p w14:paraId="13174853">
            <w:pPr>
              <w:numPr>
                <w:ilvl w:val="-1"/>
                <w:numId w:val="0"/>
              </w:numPr>
              <w:spacing w:line="360" w:lineRule="auto"/>
              <w:ind w:left="0" w:firstLine="0" w:firstLineChars="0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研究者提出：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暂停研究，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终止研究。</w:t>
            </w:r>
          </w:p>
          <w:p w14:paraId="2D9D0557"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停止纳入新的受试者，在研的受试者继续完成研究干预和随访；</w:t>
            </w:r>
          </w:p>
          <w:p w14:paraId="67A6F8A0"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停止研究相关的干预，研究仅是对受试者的跟踪随访；</w:t>
            </w:r>
          </w:p>
          <w:p w14:paraId="30E265CE">
            <w:pPr>
              <w:numPr>
                <w:ilvl w:val="-1"/>
                <w:numId w:val="0"/>
              </w:numPr>
              <w:spacing w:line="360" w:lineRule="auto"/>
              <w:ind w:left="0" w:firstLine="0"/>
              <w:rPr>
                <w:rFonts w:hint="default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 xml:space="preserve">本中心没有受试者入组，且未发现额外风险。           </w:t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2"/>
                <w:szCs w:val="22"/>
                <w:lang w:val="en-US" w:eastAsia="zh-CN"/>
              </w:rPr>
              <w:t>其他：</w:t>
            </w:r>
          </w:p>
          <w:p w14:paraId="2927C499">
            <w:pPr>
              <w:numPr>
                <w:ilvl w:val="0"/>
                <w:numId w:val="1"/>
              </w:numPr>
              <w:spacing w:line="360" w:lineRule="auto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受试者信息</w:t>
            </w:r>
          </w:p>
          <w:tbl>
            <w:tblPr>
              <w:tblStyle w:val="9"/>
              <w:tblW w:w="9438" w:type="dxa"/>
              <w:tblInd w:w="-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74"/>
              <w:gridCol w:w="1060"/>
              <w:gridCol w:w="2079"/>
              <w:gridCol w:w="1275"/>
              <w:gridCol w:w="1982"/>
              <w:gridCol w:w="1168"/>
            </w:tblGrid>
            <w:tr w14:paraId="440482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</w:trPr>
              <w:tc>
                <w:tcPr>
                  <w:tcW w:w="1874" w:type="dxa"/>
                  <w:vMerge w:val="restart"/>
                </w:tcPr>
                <w:p w14:paraId="4C7808DB">
                  <w:pPr>
                    <w:numPr>
                      <w:ilvl w:val="0"/>
                      <w:numId w:val="0"/>
                    </w:numPr>
                    <w:spacing w:line="60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  <w:r>
                    <w:rPr>
                      <w:rFonts w:hAnsi="宋体"/>
                      <w:sz w:val="22"/>
                      <w:szCs w:val="22"/>
                    </w:rPr>
                    <w:t>合同研究总例数</w:t>
                  </w:r>
                </w:p>
              </w:tc>
              <w:tc>
                <w:tcPr>
                  <w:tcW w:w="1060" w:type="dxa"/>
                  <w:vMerge w:val="restart"/>
                </w:tcPr>
                <w:p w14:paraId="19E90EDD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2079" w:type="dxa"/>
                </w:tcPr>
                <w:p w14:paraId="45F968EF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  <w:r>
                    <w:rPr>
                      <w:rFonts w:hAnsi="宋体"/>
                      <w:sz w:val="22"/>
                      <w:szCs w:val="22"/>
                    </w:rPr>
                    <w:t>已入组例数</w:t>
                  </w:r>
                </w:p>
              </w:tc>
              <w:tc>
                <w:tcPr>
                  <w:tcW w:w="1275" w:type="dxa"/>
                </w:tcPr>
                <w:p w14:paraId="762D2A11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982" w:type="dxa"/>
                </w:tcPr>
                <w:p w14:paraId="1723D41F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  <w:r>
                    <w:rPr>
                      <w:rFonts w:hAnsi="宋体"/>
                      <w:sz w:val="22"/>
                      <w:szCs w:val="22"/>
                    </w:rPr>
                    <w:t>完成观察例数</w:t>
                  </w:r>
                </w:p>
              </w:tc>
              <w:tc>
                <w:tcPr>
                  <w:tcW w:w="1168" w:type="dxa"/>
                </w:tcPr>
                <w:p w14:paraId="491E22BF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34AF5FB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</w:trPr>
              <w:tc>
                <w:tcPr>
                  <w:tcW w:w="1874" w:type="dxa"/>
                  <w:vMerge w:val="continue"/>
                </w:tcPr>
                <w:p w14:paraId="53C9B663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1060" w:type="dxa"/>
                  <w:vMerge w:val="continue"/>
                </w:tcPr>
                <w:p w14:paraId="01DB05A3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2079" w:type="dxa"/>
                </w:tcPr>
                <w:p w14:paraId="416D1C38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2"/>
                      <w:szCs w:val="22"/>
                      <w:vertAlign w:val="baseline"/>
                    </w:rPr>
                  </w:pPr>
                  <w:r>
                    <w:rPr>
                      <w:rFonts w:hAnsi="宋体"/>
                      <w:sz w:val="22"/>
                      <w:szCs w:val="22"/>
                    </w:rPr>
                    <w:t>提前退出例数</w:t>
                  </w:r>
                </w:p>
              </w:tc>
              <w:tc>
                <w:tcPr>
                  <w:tcW w:w="1275" w:type="dxa"/>
                </w:tcPr>
                <w:p w14:paraId="47FE55A0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982" w:type="dxa"/>
                </w:tcPr>
                <w:p w14:paraId="5DFA24BA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  <w:r>
                    <w:rPr>
                      <w:rFonts w:hAnsi="宋体"/>
                      <w:sz w:val="22"/>
                      <w:szCs w:val="22"/>
                    </w:rPr>
                    <w:t>严重不良事件例数</w:t>
                  </w:r>
                </w:p>
              </w:tc>
              <w:tc>
                <w:tcPr>
                  <w:tcW w:w="1168" w:type="dxa"/>
                </w:tcPr>
                <w:p w14:paraId="2E7B93EC"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Ansi="宋体"/>
                      <w:b/>
                      <w:bCs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 w14:paraId="38A06437">
            <w:pPr>
              <w:numPr>
                <w:ilvl w:val="0"/>
                <w:numId w:val="2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暂停</w:t>
            </w:r>
            <w:r>
              <w:rPr>
                <w:b/>
                <w:bCs/>
                <w:sz w:val="24"/>
                <w:szCs w:val="24"/>
              </w:rPr>
              <w:t>/</w:t>
            </w:r>
            <w:r>
              <w:rPr>
                <w:rFonts w:hAnsi="宋体"/>
                <w:b/>
                <w:bCs/>
                <w:sz w:val="24"/>
                <w:szCs w:val="24"/>
              </w:rPr>
              <w:t>终止研究的原因</w:t>
            </w:r>
          </w:p>
          <w:p w14:paraId="2C3D4726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 w14:paraId="58872FDE">
            <w:pPr>
              <w:numPr>
                <w:ilvl w:val="0"/>
                <w:numId w:val="2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有序终止研究的程序</w:t>
            </w:r>
          </w:p>
          <w:p w14:paraId="20F7198D">
            <w:pPr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是否通知在研的受试者，研究已经提前终止：</w:t>
            </w:r>
            <w:r>
              <w:rPr>
                <w:rFonts w:ascii="宋体" w:hAnsi="宋体"/>
                <w:sz w:val="24"/>
                <w:szCs w:val="24"/>
              </w:rPr>
              <w:t xml:space="preserve">□是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>否→请另页说明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不适用  </w:t>
            </w:r>
          </w:p>
          <w:p w14:paraId="6EA0A097">
            <w:pPr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是否通知已完成研究的受试者，研究已经提前终止：</w:t>
            </w:r>
          </w:p>
          <w:p w14:paraId="20679AE0">
            <w:pPr>
              <w:numPr>
                <w:ilvl w:val="0"/>
                <w:numId w:val="0"/>
              </w:numPr>
              <w:spacing w:line="360" w:lineRule="auto"/>
              <w:ind w:leftChars="0" w:firstLine="5280" w:firstLineChars="2200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□是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□否→请另页说明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不适用</w:t>
            </w:r>
          </w:p>
          <w:p w14:paraId="5F97B1B3">
            <w:pPr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是否要求召回已完成研究的受试者进行随访</w:t>
            </w:r>
            <w:r>
              <w:rPr>
                <w:rFonts w:ascii="宋体" w:hAnsi="宋体"/>
                <w:sz w:val="24"/>
                <w:szCs w:val="24"/>
              </w:rPr>
              <w:t>：□是     □否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不适用     </w:t>
            </w:r>
          </w:p>
          <w:p w14:paraId="0E865EA0">
            <w:pPr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提前终止研究受试者的后续医疗与随访安排：</w:t>
            </w:r>
          </w:p>
          <w:p w14:paraId="734626DA">
            <w:pPr>
              <w:numPr>
                <w:ilvl w:val="-1"/>
                <w:numId w:val="0"/>
              </w:numPr>
              <w:spacing w:line="360" w:lineRule="auto"/>
              <w:ind w:left="0" w:firstLine="480" w:firstLineChars="20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□转入常规医疗  □有针对性的安排随访检测与后续治疗→请另页说明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不适用</w:t>
            </w:r>
          </w:p>
          <w:p w14:paraId="7B0F6186">
            <w:pPr>
              <w:numPr>
                <w:ilvl w:val="0"/>
                <w:numId w:val="3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继续完成研究干预的受试者是否要重新获取知情同意：</w:t>
            </w:r>
          </w:p>
          <w:p w14:paraId="259F5503">
            <w:pPr>
              <w:numPr>
                <w:ilvl w:val="-1"/>
                <w:numId w:val="0"/>
              </w:numPr>
              <w:spacing w:line="360" w:lineRule="auto"/>
              <w:ind w:left="0" w:firstLine="480" w:firstLineChars="20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□是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□否→请另页说明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不适用</w:t>
            </w:r>
          </w:p>
        </w:tc>
      </w:tr>
      <w:tr w14:paraId="597A5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409" w:type="dxa"/>
            <w:gridSpan w:val="2"/>
            <w:noWrap w:val="0"/>
            <w:vAlign w:val="center"/>
          </w:tcPr>
          <w:p w14:paraId="72E550D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sz w:val="24"/>
                <w:szCs w:val="24"/>
                <w:lang w:val="en-US" w:eastAsia="zh-CN"/>
              </w:rPr>
              <w:t>研究者</w:t>
            </w: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签</w:t>
            </w:r>
            <w:r>
              <w:rPr>
                <w:rFonts w:hint="eastAsia" w:hAnsi="宋体"/>
                <w:color w:val="000000"/>
                <w:spacing w:val="20"/>
                <w:sz w:val="24"/>
                <w:szCs w:val="24"/>
                <w:lang w:val="en-US" w:eastAsia="zh-CN"/>
              </w:rPr>
              <w:t>字</w:t>
            </w:r>
          </w:p>
        </w:tc>
        <w:tc>
          <w:tcPr>
            <w:tcW w:w="2409" w:type="dxa"/>
            <w:noWrap w:val="0"/>
            <w:vAlign w:val="center"/>
          </w:tcPr>
          <w:p w14:paraId="426D17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 w14:paraId="1DCFF230">
            <w:pPr>
              <w:jc w:val="center"/>
              <w:rPr>
                <w:sz w:val="24"/>
                <w:szCs w:val="24"/>
              </w:rPr>
            </w:pPr>
            <w:r>
              <w:rPr>
                <w:rFonts w:hAnsi="宋体"/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49FC004D">
            <w:pPr>
              <w:rPr>
                <w:sz w:val="24"/>
                <w:szCs w:val="24"/>
              </w:rPr>
            </w:pPr>
          </w:p>
        </w:tc>
      </w:tr>
    </w:tbl>
    <w:p w14:paraId="41105BDC"/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DC5E4">
    <w:pPr>
      <w:pStyle w:val="6"/>
      <w:rPr>
        <w:rFonts w:hint="default" w:eastAsia="宋体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2729865</wp:posOffset>
              </wp:positionH>
              <wp:positionV relativeFrom="paragraph">
                <wp:posOffset>15875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FA4F369">
                          <w:pPr>
                            <w:pStyle w:val="6"/>
                          </w:pPr>
                          <w:r>
                            <w:rPr>
                              <w:rFonts w:hint="eastAsia" w:eastAsia="楷体_GB2312"/>
                            </w:rPr>
                            <w:t xml:space="preserve">                                    </w:t>
                          </w:r>
                          <w:r>
                            <w:rPr>
                              <w:rFonts w:hAnsi="宋体"/>
                            </w:rP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  <w:r>
                            <w:t xml:space="preserve"> </w:t>
                          </w:r>
                          <w:r>
                            <w:rPr>
                              <w:rFonts w:hAnsi="宋体"/>
                            </w:rPr>
                            <w:t>共</w:t>
                          </w:r>
                          <w:r>
                            <w:t>1</w:t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4.95pt;margin-top:1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eoZF82AAAAAkBAAAPAAAAAAAAAAEAIAAAACIA&#10;AABkcnMvZG93bnJldi54bWxQSwECFAAUAAAACACHTuJAYHJxPNABAACjAwAADgAAAAAAAAABACAA&#10;AAAn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FA4F369">
                    <w:pPr>
                      <w:pStyle w:val="6"/>
                    </w:pPr>
                    <w:r>
                      <w:rPr>
                        <w:rFonts w:hint="eastAsia" w:eastAsia="楷体_GB2312"/>
                      </w:rPr>
                      <w:t xml:space="preserve">                                    </w:t>
                    </w:r>
                    <w:r>
                      <w:rPr>
                        <w:rFonts w:hAnsi="宋体"/>
                      </w:rP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Ansi="宋体"/>
                      </w:rPr>
                      <w:t>页</w:t>
                    </w:r>
                    <w:r>
                      <w:t xml:space="preserve"> </w:t>
                    </w:r>
                    <w:r>
                      <w:rPr>
                        <w:rFonts w:hAnsi="宋体"/>
                      </w:rPr>
                      <w:t>共</w:t>
                    </w:r>
                    <w:r>
                      <w:t>1</w:t>
                    </w:r>
                    <w:r>
                      <w:rPr>
                        <w:rFonts w:hAnsi="宋体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2.1</w:t>
    </w:r>
    <w:r>
      <w:t>/</w:t>
    </w:r>
    <w:r>
      <w:rPr>
        <w:rFonts w:hint="eastAsia"/>
      </w:rPr>
      <w:t>20</w:t>
    </w:r>
    <w:r>
      <w:rPr>
        <w:rFonts w:hint="eastAsia"/>
        <w:lang w:val="en-US" w:eastAsia="zh-CN"/>
      </w:rPr>
      <w:t>24-09-10</w:t>
    </w:r>
  </w:p>
  <w:p w14:paraId="65D26CD8">
    <w:pPr>
      <w:pStyle w:val="6"/>
    </w:pPr>
    <w:r>
      <w:t xml:space="preserve">SOPs Link: </w:t>
    </w:r>
    <w:r>
      <w:rPr>
        <w:rFonts w:hint="eastAsia"/>
      </w:rPr>
      <w:t>WZPH</w:t>
    </w:r>
    <w:r>
      <w:t>EC-C-013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73BB8">
    <w:pPr>
      <w:pStyle w:val="7"/>
      <w:ind w:left="210" w:hanging="210" w:hangingChars="100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WZPHEC-C-F26                                        </w:t>
    </w:r>
    <w:r>
      <w:rPr>
        <w:rFonts w:hint="eastAsia"/>
        <w:sz w:val="21"/>
        <w:szCs w:val="21"/>
        <w:lang w:val="en-US" w:eastAsia="zh-CN"/>
      </w:rPr>
      <w:t xml:space="preserve">    </w:t>
    </w:r>
    <w:r>
      <w:rPr>
        <w:rFonts w:hint="eastAsia"/>
        <w:sz w:val="21"/>
        <w:szCs w:val="21"/>
      </w:rPr>
      <w:t xml:space="preserve">              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 xml:space="preserve">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FCF931"/>
    <w:multiLevelType w:val="singleLevel"/>
    <w:tmpl w:val="41FCF93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2F8383E"/>
    <w:multiLevelType w:val="singleLevel"/>
    <w:tmpl w:val="52F8383E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2F83859"/>
    <w:multiLevelType w:val="singleLevel"/>
    <w:tmpl w:val="52F8385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172A27"/>
    <w:rsid w:val="0018642C"/>
    <w:rsid w:val="002438DB"/>
    <w:rsid w:val="00297923"/>
    <w:rsid w:val="002A310C"/>
    <w:rsid w:val="003410EE"/>
    <w:rsid w:val="0045685E"/>
    <w:rsid w:val="005F71AB"/>
    <w:rsid w:val="006E228F"/>
    <w:rsid w:val="00713B3D"/>
    <w:rsid w:val="00782CB1"/>
    <w:rsid w:val="007A6A6F"/>
    <w:rsid w:val="00844324"/>
    <w:rsid w:val="008E0B98"/>
    <w:rsid w:val="00930F8D"/>
    <w:rsid w:val="00B22FF1"/>
    <w:rsid w:val="00BB4A3F"/>
    <w:rsid w:val="00CC2117"/>
    <w:rsid w:val="00E02E0B"/>
    <w:rsid w:val="00E03945"/>
    <w:rsid w:val="00E20A3D"/>
    <w:rsid w:val="00ED69B0"/>
    <w:rsid w:val="00EE3BAC"/>
    <w:rsid w:val="0F954BDC"/>
    <w:rsid w:val="18E56464"/>
    <w:rsid w:val="1B1747F3"/>
    <w:rsid w:val="26920A28"/>
    <w:rsid w:val="271D7364"/>
    <w:rsid w:val="2B7F106A"/>
    <w:rsid w:val="316A5E35"/>
    <w:rsid w:val="31B86A83"/>
    <w:rsid w:val="3B1E7A8D"/>
    <w:rsid w:val="3E691381"/>
    <w:rsid w:val="4AE838B4"/>
    <w:rsid w:val="4D25607D"/>
    <w:rsid w:val="52286CAF"/>
    <w:rsid w:val="53451B0D"/>
    <w:rsid w:val="54CA13DC"/>
    <w:rsid w:val="617E00F9"/>
    <w:rsid w:val="65FC1299"/>
    <w:rsid w:val="6B650A5E"/>
    <w:rsid w:val="7E444D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2"/>
    <w:next w:val="1"/>
    <w:link w:val="11"/>
    <w:qFormat/>
    <w:uiPriority w:val="0"/>
    <w:pPr>
      <w:spacing w:line="413" w:lineRule="auto"/>
      <w:jc w:val="center"/>
      <w:outlineLvl w:val="2"/>
    </w:pPr>
    <w:rPr>
      <w:rFonts w:ascii="Times New Roman" w:hAnsi="Times New Roman"/>
      <w:bCs w:val="0"/>
      <w:kern w:val="0"/>
      <w:sz w:val="24"/>
      <w:szCs w:val="20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2"/>
    <w:unhideWhenUsed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9">
    <w:name w:val="Table Grid"/>
    <w:basedOn w:val="8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3 Char"/>
    <w:link w:val="3"/>
    <w:qFormat/>
    <w:uiPriority w:val="0"/>
    <w:rPr>
      <w:b/>
      <w:sz w:val="24"/>
    </w:rPr>
  </w:style>
  <w:style w:type="character" w:customStyle="1" w:styleId="12">
    <w:name w:val="文档结构图 Char"/>
    <w:link w:val="4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3">
    <w:name w:val="标题 2 Char"/>
    <w:link w:val="2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4">
    <w:name w:val="批注框文本 Char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424</Words>
  <Characters>424</Characters>
  <Lines>2</Lines>
  <Paragraphs>1</Paragraphs>
  <TotalTime>3</TotalTime>
  <ScaleCrop>false</ScaleCrop>
  <LinksUpToDate>false</LinksUpToDate>
  <CharactersWithSpaces>548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lenovo</dc:creator>
  <cp:lastModifiedBy>reazen</cp:lastModifiedBy>
  <dcterms:modified xsi:type="dcterms:W3CDTF">2024-09-12T02:58:22Z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2CE10BDD570249F9A6DA40B5EF578DE4_13</vt:lpwstr>
  </property>
</Properties>
</file>